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D4456" w14:textId="28FEF750" w:rsid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8.10.24. Тема: </w:t>
      </w:r>
      <w:r w:rsidRPr="00BB7B65">
        <w:rPr>
          <w:rFonts w:ascii="Times New Roman" w:hAnsi="Times New Roman" w:cs="Times New Roman"/>
          <w:sz w:val="24"/>
          <w:szCs w:val="24"/>
        </w:rPr>
        <w:t>Сварочные электроды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652C0D" w14:textId="77777777" w:rsid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586A2B" w14:textId="77777777" w:rsid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B7B65">
        <w:rPr>
          <w:rFonts w:ascii="Times New Roman" w:hAnsi="Times New Roman" w:cs="Times New Roman"/>
          <w:color w:val="FF0000"/>
          <w:sz w:val="28"/>
          <w:szCs w:val="28"/>
        </w:rPr>
        <w:t xml:space="preserve">Задание: </w:t>
      </w:r>
    </w:p>
    <w:p w14:paraId="4DDF3AF9" w14:textId="2B254740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</w:t>
      </w:r>
      <w:r w:rsidRPr="00BB7B65">
        <w:rPr>
          <w:rFonts w:ascii="Times New Roman" w:hAnsi="Times New Roman" w:cs="Times New Roman"/>
          <w:color w:val="FF0000"/>
          <w:sz w:val="28"/>
          <w:szCs w:val="28"/>
        </w:rPr>
        <w:t>рочитать и законспектировать конспект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в рабочей тетради</w:t>
      </w:r>
      <w:r w:rsidRPr="00BB7B65">
        <w:rPr>
          <w:rFonts w:ascii="Times New Roman" w:hAnsi="Times New Roman" w:cs="Times New Roman"/>
          <w:color w:val="FF0000"/>
          <w:sz w:val="28"/>
          <w:szCs w:val="28"/>
        </w:rPr>
        <w:t>.  Выполненную работу сфотографировать и отправить на эл. почту edu.welding.i@gmail.com. С указанием даты и фамилии.</w:t>
      </w:r>
    </w:p>
    <w:p w14:paraId="2333707C" w14:textId="1B773C4B" w:rsidR="00BB7B65" w:rsidRPr="00E16707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707">
        <w:rPr>
          <w:rFonts w:ascii="Times New Roman" w:hAnsi="Times New Roman" w:cs="Times New Roman"/>
          <w:b/>
          <w:bCs/>
          <w:sz w:val="24"/>
          <w:szCs w:val="24"/>
        </w:rPr>
        <w:t>Электроды</w:t>
      </w:r>
      <w:r w:rsidR="00E16707">
        <w:rPr>
          <w:rFonts w:ascii="Times New Roman" w:hAnsi="Times New Roman" w:cs="Times New Roman"/>
          <w:b/>
          <w:bCs/>
          <w:sz w:val="24"/>
          <w:szCs w:val="24"/>
        </w:rPr>
        <w:t xml:space="preserve"> – расходные материалы,</w:t>
      </w:r>
      <w:r w:rsidRPr="00E16707">
        <w:rPr>
          <w:rFonts w:ascii="Times New Roman" w:hAnsi="Times New Roman" w:cs="Times New Roman"/>
          <w:b/>
          <w:bCs/>
          <w:sz w:val="24"/>
          <w:szCs w:val="24"/>
        </w:rPr>
        <w:t xml:space="preserve"> изготавливаются из электропроводного материала и предназначены для подвода электрического тока к месту сварки. </w:t>
      </w:r>
    </w:p>
    <w:p w14:paraId="076F0557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Виды электродов:</w:t>
      </w:r>
    </w:p>
    <w:p w14:paraId="492C883D" w14:textId="0ED56083" w:rsidR="00BB7B65" w:rsidRPr="00BB7B65" w:rsidRDefault="00BB7B65" w:rsidP="00E16707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 xml:space="preserve">металлические – стальные, чугунные, медные, латунные, вольфрамовые, бронзовые и др.; </w:t>
      </w:r>
    </w:p>
    <w:p w14:paraId="4C735763" w14:textId="1180EB95" w:rsidR="00BB7B65" w:rsidRPr="00BB7B65" w:rsidRDefault="00BB7B65" w:rsidP="00E16707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 xml:space="preserve">плавящиеся металлические электроды – покрытые и комбинированные электроды, сварочные пластины и ленты сплошного сечения; </w:t>
      </w:r>
    </w:p>
    <w:p w14:paraId="7FEC58E3" w14:textId="6A853B24" w:rsidR="00BB7B65" w:rsidRPr="00BB7B65" w:rsidRDefault="00BB7B65" w:rsidP="00E16707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 xml:space="preserve">неплавящиеся металлические электроды – электродные стержни из вольфрама, электроды для контактной сварки; </w:t>
      </w:r>
    </w:p>
    <w:p w14:paraId="291AFA32" w14:textId="2FAC82CE" w:rsidR="00BB7B65" w:rsidRPr="00BB7B65" w:rsidRDefault="00BB7B65" w:rsidP="00E16707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 xml:space="preserve">неметаллические (неплавящиеся) – угольные и графитовые электроды. </w:t>
      </w:r>
    </w:p>
    <w:p w14:paraId="0AFD2237" w14:textId="23A35625" w:rsidR="00BB7B65" w:rsidRPr="00BB7B65" w:rsidRDefault="00BB7B65" w:rsidP="00E16707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C16477D" w14:textId="4F241CE2" w:rsidR="00BB7B65" w:rsidRDefault="00BB7B65" w:rsidP="00BB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Покрытые электроды для ручной дуговой сварки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DE63BC" w14:textId="77777777" w:rsidR="00BB7B65" w:rsidRDefault="00BB7B65" w:rsidP="00BB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4292C5" w14:textId="25474D99" w:rsidR="00BB7B65" w:rsidRDefault="00BB7B65" w:rsidP="00BB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drawing>
          <wp:inline distT="0" distB="0" distL="0" distR="0" wp14:anchorId="373DAC83" wp14:editId="729FCC23">
            <wp:extent cx="7005103" cy="904875"/>
            <wp:effectExtent l="0" t="0" r="0" b="0"/>
            <wp:docPr id="8382865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671" cy="90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9E7FF" w14:textId="77777777" w:rsidR="00BB7B65" w:rsidRPr="00BB7B65" w:rsidRDefault="00BB7B65" w:rsidP="00BB7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C14007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 xml:space="preserve">         Покрытые электроды для ручной сварки представляют собой стержни длиной, как правило, от 250 до 700 мм, изготовленные из сварочной проволоки с нанесенным на нее слоем покрытия. Один из концов электрода длиной 20–30 мм не имеет покрытия для его крепления в электрододержателе.</w:t>
      </w:r>
    </w:p>
    <w:p w14:paraId="29C24089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Длина электрода зависит от его диаметра и химического состава стержня. Например, стержни малого диаметра, состоящие из высоколегированных сталей, делаются более короткими, чтобы уменьшить электрическое сопротивление (и нагрев) при сварке, а стержни малого диаметра из низкоуглеродистых сталей обладают высокой электропроводностью и, следовательно, могут быть длинными.</w:t>
      </w:r>
    </w:p>
    <w:p w14:paraId="1C328224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Сварочные электроды должны обеспечивать:</w:t>
      </w:r>
    </w:p>
    <w:p w14:paraId="58B765A9" w14:textId="54B62293" w:rsidR="00BB7B65" w:rsidRPr="00BB7B65" w:rsidRDefault="00BB7B65" w:rsidP="00BB7B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 xml:space="preserve">устойчивое горение дуги, равномерное плавление металла и стабильный перенос его в сварочную ванну; </w:t>
      </w:r>
    </w:p>
    <w:p w14:paraId="0EC3E248" w14:textId="7F4AA846" w:rsidR="00BB7B65" w:rsidRPr="00BB7B65" w:rsidRDefault="00BB7B65" w:rsidP="00BB7B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 xml:space="preserve">достаточную защиту расплавленного электродного металла и металла сварочной ванны от воздуха; </w:t>
      </w:r>
    </w:p>
    <w:p w14:paraId="0BCCAE7D" w14:textId="56CA6AA2" w:rsidR="00BB7B65" w:rsidRPr="00BB7B65" w:rsidRDefault="00BB7B65" w:rsidP="00BB7B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 xml:space="preserve">получение металла шва требуемого химического состава и механических свойств; </w:t>
      </w:r>
    </w:p>
    <w:p w14:paraId="464EAC14" w14:textId="25C12FE8" w:rsidR="00BB7B65" w:rsidRPr="00BB7B65" w:rsidRDefault="00BB7B65" w:rsidP="00BB7B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 xml:space="preserve">хорошее формирование шва, минимальные потери на угар и разбрызгивание; </w:t>
      </w:r>
    </w:p>
    <w:p w14:paraId="532C5DB8" w14:textId="5DFFB44D" w:rsidR="00BB7B65" w:rsidRPr="00BB7B65" w:rsidRDefault="00BB7B65" w:rsidP="00BB7B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 xml:space="preserve">возможно высокую производительность процесса сварки; </w:t>
      </w:r>
    </w:p>
    <w:p w14:paraId="68144F9B" w14:textId="7453BD5E" w:rsidR="00BB7B65" w:rsidRPr="00BB7B65" w:rsidRDefault="00BB7B65" w:rsidP="00BB7B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 xml:space="preserve">хорошую отделимость и легкую удаляемость шлака с поверхности шва; </w:t>
      </w:r>
    </w:p>
    <w:p w14:paraId="6E3EDF7F" w14:textId="2449F3C6" w:rsidR="00BB7B65" w:rsidRPr="00BB7B65" w:rsidRDefault="00BB7B65" w:rsidP="00BB7B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 xml:space="preserve">достаточную стойкость покрытий против механических повреждений (осыпание, откалывание при относительно легких ударах, в процессе нагрева электрода при сварке и др.) и недопустимость резкого ухудшения свойств в процессе хранения; </w:t>
      </w:r>
    </w:p>
    <w:p w14:paraId="7D110471" w14:textId="27AA0E9A" w:rsidR="00BB7B65" w:rsidRPr="00BB7B65" w:rsidRDefault="00BB7B65" w:rsidP="00BB7B6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 xml:space="preserve">минимальную токсичность газов, выделяющихся при сварке, соблюдение санитарно-гигиенических норм. </w:t>
      </w:r>
    </w:p>
    <w:p w14:paraId="10E46641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Данные требования обеспечиваются благодаря подбору компонентов покрытия электрода. Вещества, из которых состоит покрытие, можно разделить на следующие группы.</w:t>
      </w:r>
    </w:p>
    <w:p w14:paraId="25338130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 xml:space="preserve">Газообразующие компоненты обеспечивают газовую защиту зоны сварки от воздуха. При нагревании они разлагаются с выделением газов, вытесняющих воздух. В качестве газообразующих </w:t>
      </w:r>
      <w:r w:rsidRPr="00BB7B65">
        <w:rPr>
          <w:rFonts w:ascii="Times New Roman" w:hAnsi="Times New Roman" w:cs="Times New Roman"/>
          <w:sz w:val="24"/>
          <w:szCs w:val="24"/>
        </w:rPr>
        <w:lastRenderedPageBreak/>
        <w:t>компонентов обычно выступают вводимые в покрытие минералы (мрамор, магнезит) или органические вещества (мука, крахмал, декстрин).</w:t>
      </w:r>
    </w:p>
    <w:p w14:paraId="43EFE368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Шлакообразующие компоненты обеспечивают шлаковую защиту расплавленного и кристаллизующегося металла от воздуха. При расплавлении они образуют шлак, который всплывает на поверхность сварочной ванны. Шлаком также покрыты капли электродного металла. Шлакообразующие компоненты (кислые окислы SiO2, TiO2, Al2O3; основные окислы CaO, MnO, MgO; галогены CaF2) содержатся в мраморе, граните, гематите, кварцевом песке, рудах, ильменитовом и рутиловом концентрате.</w:t>
      </w:r>
    </w:p>
    <w:p w14:paraId="64F3E5DE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Раскисляющие компоненты позволяют восстановить часть металла, находящегося в сварочной ванне в виде оксидов. К ним относятся железосодержащие соединения – ферромарганец, ферротитан и ферросилиций.</w:t>
      </w:r>
    </w:p>
    <w:p w14:paraId="7BC674B9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Стабилизирующие компоненты обеспечивают стабильное горение дуги за счет присутствия в них элементов с низким потенциалом ионизации – натрия, калия, кальция и др. Последние содержатся в мраморе, меле, полевом шпате, кальцинированной соде, поташе и других веществах.</w:t>
      </w:r>
    </w:p>
    <w:p w14:paraId="0778DFD0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Легирующие компоненты придают металлу шва дополнительные свойства, например, повышенную прочность, коррозионную стойкость и др. Добавляются в покрытие в виде железосодержащих сплавов – феррохрома, ферротитана, феррованадия. Основным способом легирования металла шва является легирование через стержень электрода, дополнительным – через покрытие.</w:t>
      </w:r>
    </w:p>
    <w:p w14:paraId="432ED2C1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Связующие компоненты связывают порошковые материалы покрытия в однородную массу. Чаще всего в качестве связующих используется натриевое (Na2Si02) или калиевое (K2Si02) жидкое стекло. После высыхания оно цементирует покрытие. Для улучшения формовочных свойств покрытия в его состав вводятся пластификаторы – бентонит, каолин, декстрин, слюда.</w:t>
      </w:r>
    </w:p>
    <w:p w14:paraId="765805AF" w14:textId="212DEB26" w:rsidR="00BB7B65" w:rsidRPr="00BB7B65" w:rsidRDefault="00BB7B65" w:rsidP="00BB7B6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Добавление в покрытие железного порошка (до 60% от массы покрытия) позволяет повысить производительность сварки.</w:t>
      </w:r>
    </w:p>
    <w:p w14:paraId="29DF0708" w14:textId="78E59B0F" w:rsidR="00BB7B65" w:rsidRPr="00BB7B65" w:rsidRDefault="00BB7B65" w:rsidP="00BB7B6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Некоторые материалы покрытия выполняют несколько функций. Например, мрамор является газообразующим, шлакообразующим и стабилизирующим минералом.</w:t>
      </w:r>
    </w:p>
    <w:p w14:paraId="6C1D8C81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Покрытия сварочных электродов</w:t>
      </w:r>
    </w:p>
    <w:p w14:paraId="44A41F75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Электродные покрытия могут создаваться по-разному. В одних возможно преобладание газообразующих компонентов, в других – шлакообразующих. В качестве газообразующих компонентов могут применяться минералы или органические соединения. Выведение из металла шва водорода может осуществляться с помощью фтора или кислорода. В различной степени может выполняться очистка металла шва от нежелательных включений, в том числе от фосфора и серы.</w:t>
      </w:r>
    </w:p>
    <w:p w14:paraId="6757A93D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В зависимости от используемого подхода выделяют четыре базовых типа покрытия.</w:t>
      </w:r>
    </w:p>
    <w:p w14:paraId="29046BEB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Кислое покрытие (обозначается по ГОСТ 9466-75 буквой «А») создается на основе материалов рудного происхождения. В качестве шлакообразующих компонентов используются оксиды, газообразующих – органические составляющие. При плавлении покрытия в расплавленном металле и в зоне горения дуги выделяется большое количество кислорода. Поэтому в покрытие добавляют много раскислителей – марганца и кремния.</w:t>
      </w:r>
    </w:p>
    <w:p w14:paraId="29ACD949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Основное покрытие (обозначается по ГОСТ 9466-75 буквой «Б») создается на основе фтористых соединений (плавиковый шпат CaF2), а также карбонатов кальция и магния (мрамор CaCO3, магнезит MgCO3 и доломит CaMg(CO3)2). Газовая защита осуществляется за счет углекислого газа, который выделяется при разложении карбонатов:</w:t>
      </w:r>
    </w:p>
    <w:p w14:paraId="671880DC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рисунок</w:t>
      </w:r>
    </w:p>
    <w:p w14:paraId="321472BB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Рутиловое покрытие (обозначается по ГОСТ 9466-75 буквой «Р») создается на базе рутилового концентрата TiO2, обеспечивающего шлаковую защиту, а также алюмосиликатов (полевой шпат, слюда, каолин) и карбонатов (мрамор, магнезит). Газовую защиту обеспечивают карбонаты и органические соединения (целлюлоза). В качестве легирующего компонента и раскислителя используется ферромарганец, в некоторые покрытия вводится железный порошок (обозначаются по ГОСТ 9466-75 буквами «РЖ»). С помощью кальция, присутствующего в карбонате CaCO3, из металла шва удаляются сера и фосфор.</w:t>
      </w:r>
    </w:p>
    <w:p w14:paraId="55823E9B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Область применения сварочных электродов с рутиловым покрытием:</w:t>
      </w:r>
    </w:p>
    <w:p w14:paraId="00A8B5E0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lastRenderedPageBreak/>
        <w:t></w:t>
      </w:r>
      <w:r w:rsidRPr="00BB7B65">
        <w:rPr>
          <w:rFonts w:ascii="Times New Roman" w:hAnsi="Times New Roman" w:cs="Times New Roman"/>
          <w:sz w:val="24"/>
          <w:szCs w:val="24"/>
        </w:rPr>
        <w:tab/>
        <w:t xml:space="preserve">сварка и наплавка ответственных конструкций из низкоуглеродистых и некоторых типов низколегированных сталей, за исключением конструкций, работающих при высоких температурах; </w:t>
      </w:r>
    </w:p>
    <w:p w14:paraId="635605A0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</w:t>
      </w:r>
      <w:r w:rsidRPr="00BB7B65">
        <w:rPr>
          <w:rFonts w:ascii="Times New Roman" w:hAnsi="Times New Roman" w:cs="Times New Roman"/>
          <w:sz w:val="24"/>
          <w:szCs w:val="24"/>
        </w:rPr>
        <w:tab/>
        <w:t xml:space="preserve">в ряде случаев для сварки среднеуглеродистых сталей, если в покрытии содержится большое количество железного порошка. </w:t>
      </w:r>
    </w:p>
    <w:p w14:paraId="7622AE41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 xml:space="preserve">Целлюлозное покрытие (обозначается по ГОСТ 9466-75 буквой «Ц») создается на основе органических соединений (до 50%) – целлюлозы, муки, крахмала, обеспечивающих газовую защиту. Для шлаковой защиты в небольшом количестве применяются рутиловый концентрат, мрамор, карбонаты, алюмосиликаты и другие вещества. На сварном шве образуется тонкий слой шлака. </w:t>
      </w:r>
    </w:p>
    <w:p w14:paraId="2B83E4D5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Также используются и смешанные покрытия: кислорутиловое (обозначается по ГОСТ 9466-75 буквами «АР»), рутилово-основное (обозначается по ГОСТ 9466-75 буквами «РБ»), рутилово-целлюлозное (обозначается по ГОСТ 9466-75 буквами «РЦ»), а также прочие (обозначаются по ГОСТ 9466-75 буквой «П»).</w:t>
      </w:r>
    </w:p>
    <w:p w14:paraId="7DEE8489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27082B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65">
        <w:rPr>
          <w:rFonts w:ascii="Times New Roman" w:hAnsi="Times New Roman" w:cs="Times New Roman"/>
          <w:sz w:val="24"/>
          <w:szCs w:val="24"/>
        </w:rPr>
        <w:t>Таблица. Обозначение покрытий сварочных электродов</w:t>
      </w:r>
    </w:p>
    <w:p w14:paraId="0E71417A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16" w:type="dxa"/>
        <w:tblCellSpacing w:w="0" w:type="dxa"/>
        <w:tblInd w:w="-44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3"/>
        <w:gridCol w:w="2434"/>
        <w:gridCol w:w="2778"/>
        <w:gridCol w:w="2521"/>
      </w:tblGrid>
      <w:tr w:rsidR="00BB7B65" w:rsidRPr="00BB7B65" w14:paraId="526ED467" w14:textId="77777777" w:rsidTr="00BB7B65">
        <w:trPr>
          <w:trHeight w:val="917"/>
          <w:tblCellSpacing w:w="0" w:type="dxa"/>
        </w:trPr>
        <w:tc>
          <w:tcPr>
            <w:tcW w:w="28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</w:tcPr>
          <w:p w14:paraId="443D5579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004DBC1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покрытия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</w:tcPr>
          <w:p w14:paraId="556F2898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Обозначение по ГОСТ 9466-75</w:t>
            </w:r>
          </w:p>
        </w:tc>
        <w:tc>
          <w:tcPr>
            <w:tcW w:w="27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vAlign w:val="center"/>
          </w:tcPr>
          <w:p w14:paraId="247532E0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Международное обозначение ISO</w:t>
            </w:r>
          </w:p>
        </w:tc>
        <w:tc>
          <w:tcPr>
            <w:tcW w:w="25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8E8E8"/>
            <w:vAlign w:val="center"/>
          </w:tcPr>
          <w:p w14:paraId="3F2D930B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Старое обозначение по ГОСТ 9467-60</w:t>
            </w:r>
          </w:p>
        </w:tc>
      </w:tr>
      <w:tr w:rsidR="00BB7B65" w:rsidRPr="00BB7B65" w14:paraId="4A74525A" w14:textId="77777777" w:rsidTr="00BB7B65">
        <w:trPr>
          <w:trHeight w:val="444"/>
          <w:tblCellSpacing w:w="0" w:type="dxa"/>
        </w:trPr>
        <w:tc>
          <w:tcPr>
            <w:tcW w:w="28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D7513B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кислое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5407CB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BBDBE7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2EFF41B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 – руднокислое</w:t>
            </w:r>
          </w:p>
        </w:tc>
      </w:tr>
      <w:tr w:rsidR="00BB7B65" w:rsidRPr="00BB7B65" w14:paraId="2F6D6CC3" w14:textId="77777777" w:rsidTr="00BB7B65">
        <w:trPr>
          <w:trHeight w:val="652"/>
          <w:tblCellSpacing w:w="0" w:type="dxa"/>
        </w:trPr>
        <w:tc>
          <w:tcPr>
            <w:tcW w:w="28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vAlign w:val="center"/>
          </w:tcPr>
          <w:p w14:paraId="6B88166B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основное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vAlign w:val="center"/>
          </w:tcPr>
          <w:p w14:paraId="5ED101E7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vAlign w:val="center"/>
          </w:tcPr>
          <w:p w14:paraId="1342DEA7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0F0F0"/>
            <w:vAlign w:val="center"/>
          </w:tcPr>
          <w:p w14:paraId="07645715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Ф-фтористокальциевое</w:t>
            </w:r>
          </w:p>
        </w:tc>
      </w:tr>
      <w:tr w:rsidR="00BB7B65" w:rsidRPr="00BB7B65" w14:paraId="3528A93F" w14:textId="77777777" w:rsidTr="00BB7B65">
        <w:trPr>
          <w:trHeight w:val="444"/>
          <w:tblCellSpacing w:w="0" w:type="dxa"/>
        </w:trPr>
        <w:tc>
          <w:tcPr>
            <w:tcW w:w="28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F24E28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рутиловое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AD1BCA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0FE441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R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1B48394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 – рутиловое</w:t>
            </w:r>
          </w:p>
        </w:tc>
      </w:tr>
      <w:tr w:rsidR="00BB7B65" w:rsidRPr="00BB7B65" w14:paraId="40249296" w14:textId="77777777" w:rsidTr="00BB7B65">
        <w:trPr>
          <w:trHeight w:val="463"/>
          <w:tblCellSpacing w:w="0" w:type="dxa"/>
        </w:trPr>
        <w:tc>
          <w:tcPr>
            <w:tcW w:w="28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0F0F0"/>
            <w:vAlign w:val="center"/>
          </w:tcPr>
          <w:p w14:paraId="73F19FB0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целлюлозное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0F0F0"/>
            <w:vAlign w:val="center"/>
          </w:tcPr>
          <w:p w14:paraId="17881FEC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0F0F0"/>
            <w:vAlign w:val="center"/>
          </w:tcPr>
          <w:p w14:paraId="5C3D534F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  <w:vAlign w:val="center"/>
          </w:tcPr>
          <w:p w14:paraId="37B1EED7" w14:textId="77777777" w:rsidR="00BB7B65" w:rsidRPr="00BB7B65" w:rsidRDefault="00BB7B65" w:rsidP="00BB7B65">
            <w:pPr>
              <w:tabs>
                <w:tab w:val="left" w:pos="8280"/>
              </w:tabs>
              <w:spacing w:after="0" w:line="240" w:lineRule="auto"/>
              <w:ind w:left="360"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7B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 – органическое</w:t>
            </w:r>
          </w:p>
        </w:tc>
      </w:tr>
    </w:tbl>
    <w:tbl>
      <w:tblPr>
        <w:tblStyle w:val="a9"/>
        <w:tblW w:w="9926" w:type="dxa"/>
        <w:tblInd w:w="-612" w:type="dxa"/>
        <w:tblLook w:val="01E0" w:firstRow="1" w:lastRow="1" w:firstColumn="1" w:lastColumn="1" w:noHBand="0" w:noVBand="0"/>
      </w:tblPr>
      <w:tblGrid>
        <w:gridCol w:w="10808"/>
      </w:tblGrid>
      <w:tr w:rsidR="00BB7B65" w:rsidRPr="00BB7B65" w14:paraId="4B96AA6A" w14:textId="77777777" w:rsidTr="00BB7B65">
        <w:tc>
          <w:tcPr>
            <w:tcW w:w="9926" w:type="dxa"/>
          </w:tcPr>
          <w:tbl>
            <w:tblPr>
              <w:tblW w:w="10686" w:type="dxa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32"/>
              <w:gridCol w:w="2294"/>
              <w:gridCol w:w="2809"/>
              <w:gridCol w:w="2551"/>
            </w:tblGrid>
            <w:tr w:rsidR="00BB7B65" w:rsidRPr="00BB7B65" w14:paraId="3EAC8A9B" w14:textId="77777777" w:rsidTr="00BB7B65">
              <w:trPr>
                <w:trHeight w:val="391"/>
                <w:tblCellSpacing w:w="0" w:type="dxa"/>
              </w:trPr>
              <w:tc>
                <w:tcPr>
                  <w:tcW w:w="10686" w:type="dxa"/>
                  <w:gridSpan w:val="4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2B9999C3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смешанные покрытия</w:t>
                  </w:r>
                </w:p>
              </w:tc>
            </w:tr>
            <w:tr w:rsidR="00BB7B65" w:rsidRPr="00BB7B65" w14:paraId="07E3FB49" w14:textId="77777777" w:rsidTr="00BB7B65">
              <w:trPr>
                <w:trHeight w:val="696"/>
                <w:tblCellSpacing w:w="0" w:type="dxa"/>
              </w:trPr>
              <w:tc>
                <w:tcPr>
                  <w:tcW w:w="3032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vAlign w:val="center"/>
                </w:tcPr>
                <w:p w14:paraId="7C4E420F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кислорутиловое</w:t>
                  </w:r>
                </w:p>
              </w:tc>
              <w:tc>
                <w:tcPr>
                  <w:tcW w:w="22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F0F0F0"/>
                  <w:vAlign w:val="center"/>
                </w:tcPr>
                <w:p w14:paraId="61492CE9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</w:t>
                  </w:r>
                </w:p>
              </w:tc>
              <w:tc>
                <w:tcPr>
                  <w:tcW w:w="28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F0F0F0"/>
                  <w:vAlign w:val="center"/>
                </w:tcPr>
                <w:p w14:paraId="4F4CE366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AR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F0F0F0"/>
                  <w:vAlign w:val="center"/>
                </w:tcPr>
                <w:p w14:paraId="53BCAA74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B7B65" w:rsidRPr="00BB7B65" w14:paraId="472B01BE" w14:textId="77777777" w:rsidTr="00BB7B65">
              <w:trPr>
                <w:trHeight w:val="696"/>
                <w:tblCellSpacing w:w="0" w:type="dxa"/>
              </w:trPr>
              <w:tc>
                <w:tcPr>
                  <w:tcW w:w="3032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502BDC83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Рутилово-основное</w:t>
                  </w:r>
                </w:p>
              </w:tc>
              <w:tc>
                <w:tcPr>
                  <w:tcW w:w="22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3DB761E2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РБ</w:t>
                  </w:r>
                </w:p>
              </w:tc>
              <w:tc>
                <w:tcPr>
                  <w:tcW w:w="28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3F330234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RB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FFFFFF"/>
                  <w:vAlign w:val="center"/>
                </w:tcPr>
                <w:p w14:paraId="22E85C56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B7B65" w:rsidRPr="00BB7B65" w14:paraId="3A0E1370" w14:textId="77777777" w:rsidTr="00BB7B65">
              <w:trPr>
                <w:trHeight w:val="696"/>
                <w:tblCellSpacing w:w="0" w:type="dxa"/>
              </w:trPr>
              <w:tc>
                <w:tcPr>
                  <w:tcW w:w="3032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vAlign w:val="center"/>
                </w:tcPr>
                <w:p w14:paraId="57EEC032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рутилово-целлюлозное</w:t>
                  </w:r>
                </w:p>
              </w:tc>
              <w:tc>
                <w:tcPr>
                  <w:tcW w:w="22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F0F0F0"/>
                  <w:vAlign w:val="center"/>
                </w:tcPr>
                <w:p w14:paraId="7D5026C3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РЦ</w:t>
                  </w:r>
                </w:p>
              </w:tc>
              <w:tc>
                <w:tcPr>
                  <w:tcW w:w="28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F0F0F0"/>
                  <w:vAlign w:val="center"/>
                </w:tcPr>
                <w:p w14:paraId="06EBF690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RC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F0F0F0"/>
                  <w:vAlign w:val="center"/>
                </w:tcPr>
                <w:p w14:paraId="255E9F32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B7B65" w:rsidRPr="00BB7B65" w14:paraId="03982B54" w14:textId="77777777" w:rsidTr="00BB7B65">
              <w:trPr>
                <w:trHeight w:val="696"/>
                <w:tblCellSpacing w:w="0" w:type="dxa"/>
              </w:trPr>
              <w:tc>
                <w:tcPr>
                  <w:tcW w:w="3032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90C7419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прочие (смешанные)</w:t>
                  </w:r>
                </w:p>
              </w:tc>
              <w:tc>
                <w:tcPr>
                  <w:tcW w:w="22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7DCEB6B3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</w:p>
              </w:tc>
              <w:tc>
                <w:tcPr>
                  <w:tcW w:w="28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FFFFFF"/>
                  <w:vAlign w:val="center"/>
                </w:tcPr>
                <w:p w14:paraId="7E43E623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FFFFFF"/>
                  <w:vAlign w:val="center"/>
                </w:tcPr>
                <w:p w14:paraId="0DE0C953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B7B65" w:rsidRPr="00BB7B65" w14:paraId="0A288074" w14:textId="77777777" w:rsidTr="00BB7B65">
              <w:trPr>
                <w:trHeight w:val="986"/>
                <w:tblCellSpacing w:w="0" w:type="dxa"/>
              </w:trPr>
              <w:tc>
                <w:tcPr>
                  <w:tcW w:w="3032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  <w:right w:val="single" w:sz="6" w:space="0" w:color="000000"/>
                  </w:tcBorders>
                  <w:shd w:val="clear" w:color="auto" w:fill="F0F0F0"/>
                  <w:vAlign w:val="center"/>
                </w:tcPr>
                <w:p w14:paraId="7FC2F580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рутиловые с железным порошком</w:t>
                  </w:r>
                </w:p>
              </w:tc>
              <w:tc>
                <w:tcPr>
                  <w:tcW w:w="2294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F0F0F0"/>
                  <w:vAlign w:val="center"/>
                </w:tcPr>
                <w:p w14:paraId="75513458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РЖ</w:t>
                  </w:r>
                </w:p>
              </w:tc>
              <w:tc>
                <w:tcPr>
                  <w:tcW w:w="2809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</w:tcBorders>
                  <w:shd w:val="clear" w:color="auto" w:fill="F0F0F0"/>
                  <w:vAlign w:val="center"/>
                </w:tcPr>
                <w:p w14:paraId="4752161E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RR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0F0F0"/>
                  <w:vAlign w:val="center"/>
                </w:tcPr>
                <w:p w14:paraId="33276A5F" w14:textId="77777777" w:rsidR="00BB7B65" w:rsidRPr="00BB7B65" w:rsidRDefault="00BB7B65" w:rsidP="00BB7B6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7B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4ED48F9F" w14:textId="77777777" w:rsidR="00BB7B65" w:rsidRPr="00BB7B65" w:rsidRDefault="00BB7B65" w:rsidP="00BB7B65">
            <w:pPr>
              <w:spacing w:line="259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14:paraId="6E1494AC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988777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91B92C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69E508" w14:textId="77777777" w:rsidR="00BB7B65" w:rsidRPr="00BB7B65" w:rsidRDefault="00BB7B65" w:rsidP="00BB7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B7B65" w:rsidRPr="00BB7B65" w:rsidSect="00E16707">
      <w:pgSz w:w="11906" w:h="16838"/>
      <w:pgMar w:top="709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2334E3"/>
    <w:multiLevelType w:val="hybridMultilevel"/>
    <w:tmpl w:val="6A34B2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5A67C4B"/>
    <w:multiLevelType w:val="hybridMultilevel"/>
    <w:tmpl w:val="13E485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3F6326E"/>
    <w:multiLevelType w:val="hybridMultilevel"/>
    <w:tmpl w:val="AB880B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48607522">
    <w:abstractNumId w:val="1"/>
  </w:num>
  <w:num w:numId="2" w16cid:durableId="914047982">
    <w:abstractNumId w:val="0"/>
  </w:num>
  <w:num w:numId="3" w16cid:durableId="2027634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6B"/>
    <w:rsid w:val="007B276C"/>
    <w:rsid w:val="0090496B"/>
    <w:rsid w:val="00BB7B65"/>
    <w:rsid w:val="00E16707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4F44"/>
  <w15:chartTrackingRefBased/>
  <w15:docId w15:val="{57303A62-18D6-4AE8-9A06-51431BEF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B6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B7B6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B7B6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B7B6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B7B6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B7B65"/>
    <w:rPr>
      <w:b/>
      <w:bCs/>
      <w:sz w:val="20"/>
      <w:szCs w:val="20"/>
    </w:rPr>
  </w:style>
  <w:style w:type="table" w:styleId="a9">
    <w:name w:val="Table Grid"/>
    <w:basedOn w:val="a1"/>
    <w:rsid w:val="00BB7B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2024-10-05T13:03:00Z</dcterms:created>
  <dcterms:modified xsi:type="dcterms:W3CDTF">2024-10-05T13:16:00Z</dcterms:modified>
</cp:coreProperties>
</file>